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560"/>
        <w:gridCol w:w="1559"/>
        <w:gridCol w:w="236"/>
        <w:gridCol w:w="1807"/>
        <w:gridCol w:w="1786"/>
        <w:gridCol w:w="930"/>
        <w:gridCol w:w="2754"/>
        <w:gridCol w:w="248"/>
      </w:tblGrid>
      <w:tr w:rsidR="00C02110" w:rsidRPr="00C02110" w:rsidTr="00C02110">
        <w:trPr>
          <w:trHeight w:val="255"/>
        </w:trPr>
        <w:tc>
          <w:tcPr>
            <w:tcW w:w="1560"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Level</w:t>
            </w:r>
          </w:p>
        </w:tc>
        <w:tc>
          <w:tcPr>
            <w:tcW w:w="15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80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Kabupaten Siak</w:t>
            </w:r>
          </w:p>
        </w:tc>
        <w:tc>
          <w:tcPr>
            <w:tcW w:w="1786"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930"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754"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560"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Komponen</w:t>
            </w:r>
          </w:p>
        </w:tc>
        <w:tc>
          <w:tcPr>
            <w:tcW w:w="15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3593"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C. Kelompok Masyarakat Sipil</w:t>
            </w:r>
          </w:p>
        </w:tc>
        <w:tc>
          <w:tcPr>
            <w:tcW w:w="930"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754"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560"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80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786"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930"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2754"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3355" w:type="dxa"/>
            <w:gridSpan w:val="3"/>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Isu dalam PGA REDD+</w:t>
            </w:r>
          </w:p>
        </w:tc>
        <w:tc>
          <w:tcPr>
            <w:tcW w:w="7277" w:type="dxa"/>
            <w:gridSpan w:val="4"/>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560"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5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7525"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C02110" w:rsidRPr="00C02110" w:rsidTr="00C02110">
        <w:trPr>
          <w:trHeight w:val="255"/>
        </w:trPr>
        <w:tc>
          <w:tcPr>
            <w:tcW w:w="3119"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236"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7277" w:type="dxa"/>
            <w:gridSpan w:val="4"/>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ook w:val="04A0"/>
      </w:tblPr>
      <w:tblGrid>
        <w:gridCol w:w="1036"/>
        <w:gridCol w:w="1410"/>
        <w:gridCol w:w="1640"/>
        <w:gridCol w:w="1156"/>
        <w:gridCol w:w="1300"/>
        <w:gridCol w:w="1216"/>
        <w:gridCol w:w="1751"/>
        <w:gridCol w:w="1376"/>
      </w:tblGrid>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1275"/>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CIa1</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Kehutanan</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mengetahui berapa jumlah aktivis LSM yang terlibat dalam perencanaan wilayah dan kehutanan, di kabupaten Siak perumusan tata ruang hanya melibatkan dinas terkait dan Tim Terpadu Provinsi.</w:t>
            </w:r>
          </w:p>
        </w:tc>
        <w:tc>
          <w:tcPr>
            <w:tcW w:w="1382" w:type="dxa"/>
            <w:tcBorders>
              <w:top w:val="nil"/>
              <w:left w:val="nil"/>
              <w:bottom w:val="single" w:sz="4" w:space="0" w:color="auto"/>
              <w:right w:val="single" w:sz="4" w:space="0" w:color="auto"/>
            </w:tcBorders>
            <w:shd w:val="clear" w:color="000000" w:fill="FFFF00"/>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r>
      <w:tr w:rsidR="00C02110" w:rsidRPr="00C02110" w:rsidTr="00C02110">
        <w:trPr>
          <w:trHeight w:val="82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PU</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C02110" w:rsidRPr="00C02110" w:rsidTr="00C02110">
        <w:trPr>
          <w:trHeight w:val="280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Sudah memadai karena sejak tata ruang menjadi fokus perhatian LSM. Revisi tata raung pada dasarnya berupaya memutihkan pelanggaran yang terjadi. Izin yang dikeluarkan oleh Bupati dilegalkan oleh menteri pada dasarnya untuk menutupi hal yang lebih besar. Ada keinginan dari Kemeneg LH untuk menggugat perusahaan-perusahaan yang merusak lingkungan, tapi diprotes oleh Kemenhut untuk tidak mengangkat persoalan izin.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66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102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Jurnalis</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Cukup banyak LSM yang memberi masukan dengan pernyataan di media massa berkaitan dengan perencanaan hutan terutama hutan adat dan masyarakat.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1020"/>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CIa2</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Kehutanan</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Perencanaan kehutanan pada tingkat kabupaten agak kurang melibatkan LSM. Mungkin LSM lebih banyak terlibat di tingkat provinsi.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PU</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C02110" w:rsidRPr="00C02110" w:rsidTr="00C02110">
        <w:trPr>
          <w:trHeight w:val="229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Materi yang disampaikan cukup memadai mulai tahun 2007 LSM termasuk dalam Tim Terpadu Tata Ruang, namun tahun terakhir LSM jarang terlibat. Tapi dari Visi Riau Hijau 2020 terlihat kemajuan dari Timdu yang memberi usul untuk memoratorium izin baru. Jadi, sebenarnya niat baik Timdu Provinsi sudah ada. Timdu terdiri dari Pemprov, akademisi, kemenhut dan APHI.</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4</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102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Jurnalis</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 dalam perencanaan kehutanan lebih banyak terlibat di tingkat provinsi. Di kabupaten untuk pendampingan masyarakat.</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5432" w:type="dxa"/>
            <w:gridSpan w:val="4"/>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4080"/>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CIb1</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Kehutanan</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 tidak terlalu banyak memberi masukan di tingkat kabupaten. Dishut berhubungan dengan akademisi jika ada proyek berkaitan dengan program reboisasi dan pembibitan. Akademisi tidak terlalu banyak memberi masukan di tingkat kabupaten. Dishut berhubungan dengan akademisi jika ada proyek berkaitan dengan program reboisasi dan pembibitan. Akademisi memberi masukan di tingkat provinsi. Hampir semua perguruan tinggi yang berkaitan dengan kehutanan berada di Pekanbaru. Jadi, jika ada masukan berupa seminar, workshop atau kegiatan lain Dishut kabupaten di undang oleh Dishut Provinsi.</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69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PU</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C02110" w:rsidRPr="00C02110" w:rsidTr="00C02110">
        <w:trPr>
          <w:trHeight w:val="153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Sepertinya akademisi tidak terlalu banyak memberi masukan di tingkat kabupaten. Pelatihan, workshop diadakan di Pekanbaru atau SKPD diundang ke Jakarta. Harus konfirmasi langsung ke dinas </w:t>
            </w:r>
            <w:r w:rsidRPr="00C02110">
              <w:rPr>
                <w:rFonts w:ascii="Times New Roman" w:eastAsia="Times New Roman" w:hAnsi="Times New Roman" w:cs="Times New Roman"/>
                <w:color w:val="000000"/>
                <w:sz w:val="20"/>
                <w:szCs w:val="20"/>
                <w:lang w:eastAsia="id-ID"/>
              </w:rPr>
              <w:lastRenderedPageBreak/>
              <w:t>bersangakutan.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2</w:t>
            </w:r>
          </w:p>
        </w:tc>
      </w:tr>
      <w:tr w:rsidR="00C02110" w:rsidRPr="00C02110" w:rsidTr="00C02110">
        <w:trPr>
          <w:trHeight w:val="72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1275"/>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CIb2</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Kehutanan</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Materi yang disampaikan cukup memadai. Namun harus juga diwaspadai bahwa tidak semua akademisi berbicara untuk kepentingan daerah, banyak juga akademisi yang membawa kepentingan perusahaan.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PU</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C02110" w:rsidRPr="00C02110" w:rsidTr="00C02110">
        <w:trPr>
          <w:trHeight w:val="127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Materi yang disampaikan akademisi cukup memadai, walaupun kadang sulit diimplementasikan karena terlalu teknis, dan terkendala pada kondisi objektif di tingkat kabupaten.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64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690"/>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C02110">
              <w:rPr>
                <w:rFonts w:ascii="Times New Roman" w:eastAsia="Times New Roman" w:hAnsi="Times New Roman" w:cs="Times New Roman"/>
                <w:b/>
                <w:bCs/>
                <w:color w:val="000000"/>
                <w:sz w:val="20"/>
                <w:szCs w:val="20"/>
                <w:lang w:eastAsia="id-ID"/>
              </w:rPr>
              <w:br/>
              <w:t xml:space="preserve">       </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5432" w:type="dxa"/>
            <w:gridSpan w:val="4"/>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2295"/>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CIc1</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Kehutanan</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 cukup banyak yang menunjukkan  penyimpangan kepada publik, tapi sayangnya tidak semua LSM mengetahui inti permasalahannya adalah pada kewenangan. Selama ini LSM hanya memandang kesalahan pada Dishut kabupaten, padahal permaslaahan kehutanan adalah masalah kewenangan daerah yang sangat minim.</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PU</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C02110" w:rsidRPr="00C02110" w:rsidTr="00C02110">
        <w:trPr>
          <w:trHeight w:val="153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Penyimpangan prosedur dan potensi kerugian menjadi concern LSM, secara kualitas materi sudah memadai, tapi untuk mencapai ke berbagai lapisan masyarakat hingga ke tingkat grassroot kurang memadai.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61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102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Jurnalis</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Cukup memadai, kasus Semenanjung Kampar dapat diketahui publik karena LSM melakukan advokasi dan langsung memberikan informasi kepada pers.</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1275"/>
        </w:trPr>
        <w:tc>
          <w:tcPr>
            <w:tcW w:w="102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CIc2</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Kemampuan kelompok masya-rakat sipil yang menunjukan penyimpangan prosedur dan potensi </w:t>
            </w:r>
            <w:r w:rsidRPr="00C02110">
              <w:rPr>
                <w:rFonts w:ascii="Times New Roman" w:eastAsia="Times New Roman" w:hAnsi="Times New Roman" w:cs="Times New Roman"/>
                <w:color w:val="000000"/>
                <w:sz w:val="20"/>
                <w:szCs w:val="20"/>
                <w:lang w:eastAsia="id-ID"/>
              </w:rPr>
              <w:lastRenderedPageBreak/>
              <w:t xml:space="preserve">kerugian akibat peren-canaan wilayah dan kehutanan </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Apakah kemampuan kelompok masyarakat sipil yang menunjukan penyimpangan prosedur dan po-</w:t>
            </w:r>
            <w:r w:rsidRPr="00C02110">
              <w:rPr>
                <w:rFonts w:ascii="Times New Roman" w:eastAsia="Times New Roman" w:hAnsi="Times New Roman" w:cs="Times New Roman"/>
                <w:color w:val="000000"/>
                <w:sz w:val="20"/>
                <w:szCs w:val="20"/>
                <w:lang w:eastAsia="id-ID"/>
              </w:rPr>
              <w:lastRenderedPageBreak/>
              <w:t>tensi kerugian akibat perencanaan wilayah dan kehutanan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Kehutanan</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Kurang memahami karena sejauh ini LSM cenderung memberitakan hal-hal yang buruk dari dishut kabupaten, </w:t>
            </w:r>
            <w:r w:rsidRPr="00C02110">
              <w:rPr>
                <w:rFonts w:ascii="Times New Roman" w:eastAsia="Times New Roman" w:hAnsi="Times New Roman" w:cs="Times New Roman"/>
                <w:color w:val="000000"/>
                <w:sz w:val="20"/>
                <w:szCs w:val="20"/>
                <w:lang w:eastAsia="id-ID"/>
              </w:rPr>
              <w:lastRenderedPageBreak/>
              <w:t>padahal izin pelepasan sepenuhnya menjadi kewenangan kemenhut.</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2</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PU</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C02110" w:rsidRPr="00C02110" w:rsidTr="00C02110">
        <w:trPr>
          <w:trHeight w:val="102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Kemampuan untuk menunjukkan penyimpangan prosedur akibat kerugian perencanaan wilayah sudah memadai. Tapi tidak semua LSM mimiliki kemampuan ini.</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5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51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Jurnalis</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Kemampuan LSM cukup memadai, tapi pada LSM tertentu, tidak semua LSM.</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360"/>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6814" w:type="dxa"/>
            <w:gridSpan w:val="5"/>
            <w:tcBorders>
              <w:top w:val="nil"/>
              <w:left w:val="nil"/>
              <w:bottom w:val="single" w:sz="4" w:space="0" w:color="auto"/>
              <w:right w:val="nil"/>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C02110">
              <w:rPr>
                <w:rFonts w:ascii="Times New Roman" w:eastAsia="Times New Roman" w:hAnsi="Times New Roman" w:cs="Times New Roman"/>
                <w:b/>
                <w:bCs/>
                <w:color w:val="000000"/>
                <w:sz w:val="20"/>
                <w:szCs w:val="20"/>
                <w:lang w:eastAsia="id-ID"/>
              </w:rPr>
              <w:br/>
            </w: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510"/>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CId1</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Kehutanan</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Kurang memahami jumlah aktivis LSM, dapat mengecek ke tingkat provinsi.</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PU</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C02110" w:rsidRPr="00C02110" w:rsidTr="00C02110">
        <w:trPr>
          <w:trHeight w:val="102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 yang melakukan pendampingan di wilayah Siak dan Pelalawan diantaranya adalah Scale Up, Jikalahari, Jaringan Masyarakat Gambut Riau dan Walhi</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4</w:t>
            </w:r>
          </w:p>
        </w:tc>
      </w:tr>
      <w:tr w:rsidR="00C02110" w:rsidRPr="00C02110" w:rsidTr="00C02110">
        <w:trPr>
          <w:trHeight w:val="51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Organisasi Masyarakat Adat Lokal</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organisasi masyarakat adat yang diwawancarai di Siak, karena berada di Kabupaten Bengkalis, yaitu Suku Sakai.</w:t>
            </w:r>
          </w:p>
        </w:tc>
      </w:tr>
      <w:tr w:rsidR="00C02110" w:rsidRPr="00C02110" w:rsidTr="00C02110">
        <w:trPr>
          <w:trHeight w:val="5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102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Jurnalis</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LSM yang melakukan pendampingan kurang memadai dari segi jumlah karena banyaknya masalah yang berikaitan dengan persoalan tenurial di Riau.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255"/>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CId2</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Kehutanan</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Kurang memahami dari segi kemampuan.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PU</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C02110" w:rsidRPr="00C02110" w:rsidTr="00C02110">
        <w:trPr>
          <w:trHeight w:val="51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Jika di lingkaran Scale Up, Walhi, Jikalahari, LBH Pekanbaru relatif memadai.</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51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Organisasi Masyarakat Adat Lokal</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organisasi masyarakat adat yang diwawancarai di Siak, karena berada di Kabupaten Bengkalis, yaitu Suku Sakai.</w:t>
            </w:r>
          </w:p>
        </w:tc>
      </w:tr>
      <w:tr w:rsidR="00C02110" w:rsidRPr="00C02110" w:rsidTr="00C02110">
        <w:trPr>
          <w:trHeight w:val="5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51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Jurnalis</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Kemampuan relatif memadai daei segi advokasi, walaupun pada LSM tertentu.</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600"/>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C02110">
              <w:rPr>
                <w:rFonts w:ascii="Times New Roman" w:eastAsia="Times New Roman" w:hAnsi="Times New Roman" w:cs="Times New Roman"/>
                <w:b/>
                <w:bCs/>
                <w:color w:val="000000"/>
                <w:sz w:val="20"/>
                <w:szCs w:val="20"/>
                <w:lang w:eastAsia="id-ID"/>
              </w:rPr>
              <w:br/>
              <w:t xml:space="preserve">       </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452" w:type="dxa"/>
            <w:gridSpan w:val="2"/>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Well Informed Persons (LSM: Pengurus)</w:t>
            </w: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2040"/>
        </w:trPr>
        <w:tc>
          <w:tcPr>
            <w:tcW w:w="1027" w:type="dxa"/>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CIe1</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Tidak selalu memadai, tergantung dari lokasi dampingan. Seringkali donor juga mempunyai target tersendiri sehingga adakalanya pendampingan dilakukan dengan mengakomodir donor. Namun demikian, hal -hal prinsip yang </w:t>
            </w:r>
            <w:r w:rsidRPr="00C02110">
              <w:rPr>
                <w:rFonts w:ascii="Times New Roman" w:eastAsia="Times New Roman" w:hAnsi="Times New Roman" w:cs="Times New Roman"/>
                <w:color w:val="000000"/>
                <w:sz w:val="20"/>
                <w:szCs w:val="20"/>
                <w:lang w:eastAsia="id-ID"/>
              </w:rPr>
              <w:lastRenderedPageBreak/>
              <w:t>berkaitan dengan visi misi LSM tetap yang dikedepankan.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3</w:t>
            </w: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600"/>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C02110">
              <w:rPr>
                <w:rFonts w:ascii="Times New Roman" w:eastAsia="Times New Roman" w:hAnsi="Times New Roman" w:cs="Times New Roman"/>
                <w:b/>
                <w:bCs/>
                <w:color w:val="000000"/>
                <w:sz w:val="20"/>
                <w:szCs w:val="20"/>
                <w:lang w:eastAsia="id-ID"/>
              </w:rPr>
              <w:br/>
              <w:t xml:space="preserve">       </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452" w:type="dxa"/>
            <w:gridSpan w:val="2"/>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Well Informed Persons (LSM: Pengurus)</w:t>
            </w: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1020"/>
        </w:trPr>
        <w:tc>
          <w:tcPr>
            <w:tcW w:w="1027" w:type="dxa"/>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CIf1</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Prosedur penyampaian hasil atau proses partisipasi</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Dokumen tidak diberikan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Mekanisme pelaporan mencakup prosedur penyampaian hasil walaupun kepada masyarakat dampingan tidak sama dengan prosedur kepada donor.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1020"/>
        </w:trPr>
        <w:tc>
          <w:tcPr>
            <w:tcW w:w="1027" w:type="dxa"/>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CIf2</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Standarisasi isi laporan hasil atau proses partisipasi</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Dokumen tidak diberikan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Mekanisme juga mengatur standar isi terutama terhadap donor.</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1020"/>
        </w:trPr>
        <w:tc>
          <w:tcPr>
            <w:tcW w:w="1027" w:type="dxa"/>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CIf3</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Forum penyampaian hasil atau proses partisipasi</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Dokumen tidak diberikan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Forum penyampaian hasil atau proses partisipasi sangat penting terutama untuk menjaga kepercayaan masyarakat dampingan.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1275"/>
        </w:trPr>
        <w:tc>
          <w:tcPr>
            <w:tcW w:w="1027" w:type="dxa"/>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CIf4</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Penetapan peserta forum penyampaian hasil atau proses partisipasi</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Dokumen tidak diberikan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Penetapan peserta terutama pada wilayah konflik sangat penting, jadi siapa yang menjadi perwakilan juga harus dilaporkan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1275"/>
        </w:trPr>
        <w:tc>
          <w:tcPr>
            <w:tcW w:w="1027" w:type="dxa"/>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CIf5</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Mekanisme penyampaian masukan dari peserta forum</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Dokumen tidak diberikan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Masukan dari forum adalah bagian terpenting dari proses partisipasi, jadi terlepas dari berbagai kekurangan struktur laporan, masukan pasti diakomodir dalam laporan.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4071" w:type="dxa"/>
            <w:gridSpan w:val="3"/>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Isu dalam PGA REDD+</w:t>
            </w:r>
          </w:p>
        </w:tc>
        <w:tc>
          <w:tcPr>
            <w:tcW w:w="5432" w:type="dxa"/>
            <w:gridSpan w:val="4"/>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660"/>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6814" w:type="dxa"/>
            <w:gridSpan w:val="5"/>
            <w:tcBorders>
              <w:top w:val="nil"/>
              <w:left w:val="nil"/>
              <w:bottom w:val="single" w:sz="4" w:space="0" w:color="auto"/>
              <w:right w:val="nil"/>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1020"/>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CIIa1</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Belum terlalu memahami kemampuan legal drafting untuk masyarakat adat. Tapi untuk legal drafting LBH Pekanbaru memiliki tenaga untuk melakukan hal itu.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61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Biro Hukum Pemda</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tahu jika menyangkut aktivis LSM</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r>
      <w:tr w:rsidR="00C02110" w:rsidRPr="00C02110" w:rsidTr="00C02110">
        <w:trPr>
          <w:trHeight w:val="255"/>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CIIa2</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Bukti keikutsertaan dalam pelatihan perancangan peraturan</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Kurang memahami sejauh itu.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54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Biro Hukum Pemda</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r>
      <w:tr w:rsidR="00C02110" w:rsidRPr="00C02110" w:rsidTr="00C02110">
        <w:trPr>
          <w:trHeight w:val="255"/>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CIIa3</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Lama waktu kerja sebagai legal drafter</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Berapa lama waktu kerja yang di-miliki aktivis-LSM sebagai legal drafter?</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Kurang memahami sejauh itu.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54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w:t>
            </w:r>
            <w:r w:rsidRPr="00C02110">
              <w:rPr>
                <w:rFonts w:ascii="Times New Roman" w:eastAsia="Times New Roman" w:hAnsi="Times New Roman" w:cs="Times New Roman"/>
                <w:color w:val="000000"/>
                <w:sz w:val="20"/>
                <w:szCs w:val="20"/>
                <w:lang w:eastAsia="id-ID"/>
              </w:rPr>
              <w:lastRenderedPageBreak/>
              <w:t xml:space="preserve">provinsi.  </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Biro Hukum Pemda</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Kurang memahami sejauh itu.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630"/>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C02110">
              <w:rPr>
                <w:rFonts w:ascii="Times New Roman" w:eastAsia="Times New Roman" w:hAnsi="Times New Roman" w:cs="Times New Roman"/>
                <w:b/>
                <w:bCs/>
                <w:color w:val="000000"/>
                <w:sz w:val="20"/>
                <w:szCs w:val="20"/>
                <w:lang w:eastAsia="id-ID"/>
              </w:rPr>
              <w:br/>
              <w:t xml:space="preserve">   </w:t>
            </w:r>
          </w:p>
        </w:tc>
      </w:tr>
      <w:tr w:rsidR="00C02110" w:rsidRPr="00C02110" w:rsidTr="00C02110">
        <w:trPr>
          <w:trHeight w:val="34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6814" w:type="dxa"/>
            <w:gridSpan w:val="5"/>
            <w:tcBorders>
              <w:top w:val="nil"/>
              <w:left w:val="nil"/>
              <w:bottom w:val="single" w:sz="4" w:space="0" w:color="auto"/>
              <w:right w:val="nil"/>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510"/>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CIIb1</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akademisi senior setidaknya di Pekanbaru ada 2 orang dari FH UIR</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67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76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Biro Hukum Pemda</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 legal drafting bisa dicek di perguruan tinggi di Pekanbaru, UNRI dan UIR misalnya.</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765"/>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CIIb2</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Bukti keikutsertaan dalam pelatihan perancangan peraturan</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Ada satu orang senior, di UIR sepertinya sudah mengikuti pelatihan perancangan legal drafting.</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63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Biro Hukum Pemda</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r>
      <w:tr w:rsidR="00C02110" w:rsidRPr="00C02110" w:rsidTr="00C02110">
        <w:trPr>
          <w:trHeight w:val="510"/>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CIIb3</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Lama waktu kerja sebagai legal drafter</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Berapa lama waktu kerja yang di-miliki akademisi sebagai legal drafter?</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Jika dilihat dari senioritas mungkin lebih dari 5 tahun.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60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Akademisi</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Biro Hukum Pemda</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720"/>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C02110">
              <w:rPr>
                <w:rFonts w:ascii="Times New Roman" w:eastAsia="Times New Roman" w:hAnsi="Times New Roman" w:cs="Times New Roman"/>
                <w:b/>
                <w:bCs/>
                <w:color w:val="000000"/>
                <w:sz w:val="20"/>
                <w:szCs w:val="20"/>
                <w:lang w:eastAsia="id-ID"/>
              </w:rPr>
              <w:br/>
              <w:t xml:space="preserve">   </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3673" w:type="dxa"/>
            <w:gridSpan w:val="3"/>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Well Informed Persons (Pengurus: LSM &amp; Masyarakat Adat)</w:t>
            </w: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lastRenderedPageBreak/>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1800"/>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CIIc1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Belum memadai dari segi jumlah, terlebih lagi jika dibandingkan dengan permasalahan masyarakat adat di Riau.</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51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Organisasi Masyarakat Adat Lokal</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organisasi masyarakat adat yang diwawancarai di Siak, karena berada di Kabupaten Bengkalis, yaitu Suku Sakai.</w:t>
            </w: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d. Kode etik yang dipergunakan oleh LSM/jaringan LSM dalam melakukan pemantauan</w:t>
            </w:r>
            <w:r w:rsidRPr="00C02110">
              <w:rPr>
                <w:rFonts w:ascii="Times New Roman" w:eastAsia="Times New Roman" w:hAnsi="Times New Roman" w:cs="Times New Roman"/>
                <w:b/>
                <w:bCs/>
                <w:color w:val="000000"/>
                <w:sz w:val="20"/>
                <w:szCs w:val="20"/>
                <w:lang w:eastAsia="id-ID"/>
              </w:rPr>
              <w:br/>
              <w:t xml:space="preserve">   </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6814" w:type="dxa"/>
            <w:gridSpan w:val="5"/>
            <w:tcBorders>
              <w:top w:val="nil"/>
              <w:left w:val="nil"/>
              <w:bottom w:val="single" w:sz="4" w:space="0" w:color="auto"/>
              <w:right w:val="nil"/>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C02110">
              <w:rPr>
                <w:rFonts w:ascii="Times New Roman" w:eastAsia="Times New Roman" w:hAnsi="Times New Roman" w:cs="Times New Roman"/>
                <w:b/>
                <w:bCs/>
                <w:color w:val="000000"/>
                <w:sz w:val="20"/>
                <w:szCs w:val="20"/>
                <w:lang w:eastAsia="id-ID"/>
              </w:rPr>
              <w:br/>
            </w: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765"/>
        </w:trPr>
        <w:tc>
          <w:tcPr>
            <w:tcW w:w="1027" w:type="dxa"/>
            <w:vMerge w:val="restart"/>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CIId1</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Kode etik memasukkan prinsip-prinsip good governance (6 prinsip)</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Kehutanan</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tahu, LSM seringkali memaksakan kehendak tidak mengerti persoalan kewenagan daerah yang sesungguhnya.</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r>
      <w:tr w:rsidR="00C02110" w:rsidRPr="00C02110" w:rsidTr="00C02110">
        <w:trPr>
          <w:trHeight w:val="127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Semua program LSM berusaha untuk memenuhi prinsip good governance, terlepas bagaimana pencapaian di lapangan, karena tidak mudah jika diterapkan pada masyarakat dampingan.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51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Organisasi Masyarakat Adat Lokal</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organisasi masyarakat adat yang diwawancarai di Siak, karena berada di Kabupaten Bengkalis, yaitu Suku Sakai.</w:t>
            </w:r>
          </w:p>
        </w:tc>
      </w:tr>
      <w:tr w:rsidR="00C02110" w:rsidRPr="00C02110" w:rsidTr="00C02110">
        <w:trPr>
          <w:trHeight w:val="1515"/>
        </w:trPr>
        <w:tc>
          <w:tcPr>
            <w:tcW w:w="102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CIId2</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Kredibilitas kode etik yang dipergunakan</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Kehutanan</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 tidak semuanya murni memperjuangkan kepentingan masyarakat. Banyak juga yang ternyata mencari keuntungan dari konflik.</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178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Pada prinsipnya LSM dalam hal ini Walhi berusaha untuk menerapkan transparasi dan partisipasi pada kasus lingkungan. Banyak informasi yang berkaitan dengan mekanisme, prosedur, peraturan dan politik yang tidak diketahui masyarakat dan menyebabkan masyarakat sebagai korban.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51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Organisasi Masyarakat Adat Lokal</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organisasi masyarakat adat yang diwawancarai di Siak, karena berada di Kabupaten Bengkalis, yaitu Suku Sakai.</w:t>
            </w:r>
          </w:p>
        </w:tc>
      </w:tr>
      <w:tr w:rsidR="00C02110" w:rsidRPr="00C02110" w:rsidTr="00C02110">
        <w:trPr>
          <w:trHeight w:val="255"/>
        </w:trPr>
        <w:tc>
          <w:tcPr>
            <w:tcW w:w="102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61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C02110">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6814" w:type="dxa"/>
            <w:gridSpan w:val="5"/>
            <w:tcBorders>
              <w:top w:val="nil"/>
              <w:left w:val="nil"/>
              <w:bottom w:val="single" w:sz="4" w:space="0" w:color="auto"/>
              <w:right w:val="nil"/>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2040"/>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CIIe1</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Walhi, Scale Up, Jikalahari, Transparency International Indonesia Riau Office, LBH Pekanbaru</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c>
          <w:tcPr>
            <w:tcW w:w="1759" w:type="dxa"/>
            <w:tcBorders>
              <w:top w:val="nil"/>
              <w:left w:val="nil"/>
              <w:bottom w:val="single" w:sz="4" w:space="0" w:color="auto"/>
              <w:right w:val="single" w:sz="4" w:space="0" w:color="auto"/>
            </w:tcBorders>
            <w:shd w:val="clear" w:color="000000" w:fill="000000"/>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r>
      <w:tr w:rsidR="00C02110" w:rsidRPr="00C02110" w:rsidTr="00C02110">
        <w:trPr>
          <w:trHeight w:val="255"/>
        </w:trPr>
        <w:tc>
          <w:tcPr>
            <w:tcW w:w="102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4071" w:type="dxa"/>
            <w:gridSpan w:val="3"/>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Isu dalam PGA REDD+</w:t>
            </w:r>
          </w:p>
        </w:tc>
        <w:tc>
          <w:tcPr>
            <w:tcW w:w="5432" w:type="dxa"/>
            <w:gridSpan w:val="4"/>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6814" w:type="dxa"/>
            <w:gridSpan w:val="5"/>
            <w:tcBorders>
              <w:top w:val="nil"/>
              <w:left w:val="nil"/>
              <w:bottom w:val="single" w:sz="4" w:space="0" w:color="auto"/>
              <w:right w:val="nil"/>
            </w:tcBorders>
            <w:shd w:val="clear" w:color="auto" w:fill="auto"/>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1785"/>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CIIIa1</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Belum memadai karena persoalan pendanaan dan fasilitas.</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255"/>
        </w:trPr>
        <w:tc>
          <w:tcPr>
            <w:tcW w:w="102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5432" w:type="dxa"/>
            <w:gridSpan w:val="4"/>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xml:space="preserve">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452" w:type="dxa"/>
            <w:gridSpan w:val="2"/>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LSM (Pengurus terkait isu keterwakilan gender)</w:t>
            </w: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1275"/>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CIIIb1</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000000" w:fill="000000"/>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221" w:type="dxa"/>
            <w:tcBorders>
              <w:top w:val="nil"/>
              <w:left w:val="nil"/>
              <w:bottom w:val="single" w:sz="4" w:space="0" w:color="auto"/>
              <w:right w:val="single" w:sz="4" w:space="0" w:color="auto"/>
            </w:tcBorders>
            <w:shd w:val="clear" w:color="000000" w:fill="000000"/>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yang paling memahami konteks menjadi prioritas yang dilakukan untuk mengutus perwakilan. Di walhi 4 laki-laki pengurus harian, 1 perempuan, volunteer perempuannya banyak</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765"/>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CIIIb2</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000000" w:fill="000000"/>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221" w:type="dxa"/>
            <w:tcBorders>
              <w:top w:val="nil"/>
              <w:left w:val="nil"/>
              <w:bottom w:val="single" w:sz="4" w:space="0" w:color="auto"/>
              <w:right w:val="single" w:sz="4" w:space="0" w:color="auto"/>
            </w:tcBorders>
            <w:shd w:val="clear" w:color="000000" w:fill="000000"/>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Mekanisme pemilihan di LSM didasarkan pada kemampuan memahami masalah dan pendampingan.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765"/>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CIIIb3</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forum pemilihan wakil LSM dalam lembaga/forum multipihak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000000" w:fill="000000"/>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221" w:type="dxa"/>
            <w:tcBorders>
              <w:top w:val="nil"/>
              <w:left w:val="nil"/>
              <w:bottom w:val="single" w:sz="4" w:space="0" w:color="auto"/>
              <w:right w:val="single" w:sz="4" w:space="0" w:color="auto"/>
            </w:tcBorders>
            <w:shd w:val="clear" w:color="000000" w:fill="000000"/>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Belum selalu memadai karena sifat keanggotan LSM berdasarkan pada kerelaan (voluntaritas)</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255"/>
        </w:trPr>
        <w:tc>
          <w:tcPr>
            <w:tcW w:w="102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150"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LSM, Polisi</w:t>
            </w:r>
          </w:p>
        </w:tc>
        <w:tc>
          <w:tcPr>
            <w:tcW w:w="1302"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1245"/>
        </w:trPr>
        <w:tc>
          <w:tcPr>
            <w:tcW w:w="102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CIIIc1</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Jumlah inisiatif advokasi pemberantasan korupsi di </w:t>
            </w:r>
            <w:r w:rsidRPr="00C02110">
              <w:rPr>
                <w:rFonts w:ascii="Times New Roman" w:eastAsia="Times New Roman" w:hAnsi="Times New Roman" w:cs="Times New Roman"/>
                <w:color w:val="000000"/>
                <w:sz w:val="20"/>
                <w:szCs w:val="20"/>
                <w:lang w:eastAsia="id-ID"/>
              </w:rPr>
              <w:lastRenderedPageBreak/>
              <w:t>sektor kehutanan oleh aktivis-LSM lingkungan atau aktivis-LSM anti korupsi</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 xml:space="preserve">Apakah jumlah inisiatif advokasi pemberantasan korupsi di sektor ke-hutanan oleh </w:t>
            </w:r>
            <w:r w:rsidRPr="00C02110">
              <w:rPr>
                <w:rFonts w:ascii="Times New Roman" w:eastAsia="Times New Roman" w:hAnsi="Times New Roman" w:cs="Times New Roman"/>
                <w:color w:val="000000"/>
                <w:sz w:val="20"/>
                <w:szCs w:val="20"/>
                <w:lang w:eastAsia="id-ID"/>
              </w:rPr>
              <w:lastRenderedPageBreak/>
              <w:t>aktivis-LSM lingkungan atau aktivis-LSM anti korupsi sudah memadai?</w:t>
            </w: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Polres</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bersedia diwawancara, Polres tidak merespon surat peneliti dan memberi kepastian waktu.</w:t>
            </w:r>
          </w:p>
        </w:tc>
      </w:tr>
      <w:tr w:rsidR="00C02110" w:rsidRPr="00C02110" w:rsidTr="00C02110">
        <w:trPr>
          <w:trHeight w:val="765"/>
        </w:trPr>
        <w:tc>
          <w:tcPr>
            <w:tcW w:w="102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Cukup memadai dari inisiatif, tapi untuk penyebaran informasi mungkin terkendala pada media dan pendanaan.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255"/>
        </w:trPr>
        <w:tc>
          <w:tcPr>
            <w:tcW w:w="102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4071" w:type="dxa"/>
            <w:gridSpan w:val="3"/>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Isu dalam PGA REDD+</w:t>
            </w:r>
          </w:p>
        </w:tc>
        <w:tc>
          <w:tcPr>
            <w:tcW w:w="5432" w:type="dxa"/>
            <w:gridSpan w:val="4"/>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452" w:type="dxa"/>
            <w:gridSpan w:val="2"/>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LSM (Pengurus), Pejabat Pemberi Izin, Jurnalis</w:t>
            </w: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765"/>
        </w:trPr>
        <w:tc>
          <w:tcPr>
            <w:tcW w:w="102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CIVa1</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647" w:type="dxa"/>
            <w:vMerge w:val="restart"/>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Kehutanan</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Sudah banyak LSM yang melakukan monitoring, tapi berapa jumlah riilnya tidak tahu.</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255"/>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Belum memadai dari segi jumlah</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1230"/>
        </w:trPr>
        <w:tc>
          <w:tcPr>
            <w:tcW w:w="102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auto"/>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Jurnalis</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Kurang memadai dari segi jumlah</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r>
      <w:tr w:rsidR="00C02110" w:rsidRPr="00C02110" w:rsidTr="00C02110">
        <w:trPr>
          <w:trHeight w:val="255"/>
        </w:trPr>
        <w:tc>
          <w:tcPr>
            <w:tcW w:w="102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C02110" w:rsidRPr="00C02110" w:rsidTr="00C02110">
        <w:trPr>
          <w:trHeight w:val="510"/>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150"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LSM (Aktivis)</w:t>
            </w:r>
          </w:p>
        </w:tc>
        <w:tc>
          <w:tcPr>
            <w:tcW w:w="1302"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221"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1275"/>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CIVb1</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Pemahaman terhadap prinsip &amp; prosedur</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Sudah memadai jika itu adalah LSM lingkungan seperti Walhi, di Riau LSM sangat banyak jumlahnya</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2040"/>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CIVb2</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Strategi pelaksanaan monitoring</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Kalaupun ada pasti tidak tersosialisasi dengan baik. Jangankan LSM, pemerintahpun tidak sanggup menjamin monitoring pemberian izin dan pengelolaan </w:t>
            </w:r>
            <w:r w:rsidRPr="00C02110">
              <w:rPr>
                <w:rFonts w:ascii="Times New Roman" w:eastAsia="Times New Roman" w:hAnsi="Times New Roman" w:cs="Times New Roman"/>
                <w:color w:val="000000"/>
                <w:sz w:val="20"/>
                <w:szCs w:val="20"/>
                <w:lang w:eastAsia="id-ID"/>
              </w:rPr>
              <w:lastRenderedPageBreak/>
              <w:t xml:space="preserve">kawasan konservasi. Sudah banyak kawasan konservasi yang rusak. Jika SM Zamrud atau Giam Siak Kecil adalah lahan kering pasti sudah dirambah.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2</w:t>
            </w:r>
          </w:p>
        </w:tc>
      </w:tr>
      <w:tr w:rsidR="00C02110" w:rsidRPr="00C02110" w:rsidTr="00C02110">
        <w:trPr>
          <w:trHeight w:val="765"/>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CIVb3</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Bukti Keikutsertaan dalam pelatihan monitoring</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Pelatihan monitoring belum memadai karena keterbatasan peserta. </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255"/>
        </w:trPr>
        <w:tc>
          <w:tcPr>
            <w:tcW w:w="102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5432" w:type="dxa"/>
            <w:gridSpan w:val="4"/>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Pelaksanaan peningkatan kapasitas (Pengurus LSM) dan Masyarakat Adat/Lokal (Pengurus)</w:t>
            </w:r>
            <w:r w:rsidRPr="00C02110">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1500"/>
        </w:trPr>
        <w:tc>
          <w:tcPr>
            <w:tcW w:w="102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CIVc1</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510"/>
        </w:trPr>
        <w:tc>
          <w:tcPr>
            <w:tcW w:w="102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Organisasi Masyarakat Adat Lokal</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organisasi masyarakat adat yang diwawancarai di Siak, karena berada di Kabupaten Bengkalis, yaitu Suku Sakai.</w:t>
            </w:r>
          </w:p>
        </w:tc>
      </w:tr>
      <w:tr w:rsidR="00C02110" w:rsidRPr="00C02110" w:rsidTr="00C02110">
        <w:trPr>
          <w:trHeight w:val="1500"/>
        </w:trPr>
        <w:tc>
          <w:tcPr>
            <w:tcW w:w="102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CIVc2</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510"/>
        </w:trPr>
        <w:tc>
          <w:tcPr>
            <w:tcW w:w="102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Organisasi Masyarakat Adat Lokal</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organisasi masyarakat adat yang diwawancarai di Siak, karena berada di Kabupaten Bengkalis, yaitu Suku Sakai.</w:t>
            </w:r>
          </w:p>
        </w:tc>
      </w:tr>
      <w:tr w:rsidR="00C02110" w:rsidRPr="00C02110" w:rsidTr="00C02110">
        <w:trPr>
          <w:trHeight w:val="255"/>
        </w:trPr>
        <w:tc>
          <w:tcPr>
            <w:tcW w:w="102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Isu dalam PGA REDD+</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452"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xml:space="preserve">: V. Pengendalian dan Penegakan Hukum  </w:t>
            </w: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5432" w:type="dxa"/>
            <w:gridSpan w:val="4"/>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452" w:type="dxa"/>
            <w:gridSpan w:val="2"/>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Pelaksanaan LSM, Masyarakat pelapor</w:t>
            </w:r>
            <w:r w:rsidRPr="00C02110">
              <w:rPr>
                <w:rFonts w:ascii="Times New Roman" w:eastAsia="Times New Roman" w:hAnsi="Times New Roman" w:cs="Times New Roman"/>
                <w:b/>
                <w:bCs/>
                <w:color w:val="000000"/>
                <w:sz w:val="20"/>
                <w:szCs w:val="20"/>
                <w:lang w:eastAsia="id-ID"/>
              </w:rPr>
              <w:br/>
            </w: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1785"/>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CVa1</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Jumlah LSM yang menerima pe-ngaduan masyarakat terkait ma-salah kehutanan</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Berapa jumlah pengaduan ma-syarakat yang diterima LSM?</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Masyarakat tidak mengadu, tapi LSM yang memonitor konflik dalam masyarakat. Masyarakat awalnya tidak punya akses untuk mengadu ke lembaga tertentu, tapi LSM yang mendekati masyarakat untuk memetakan permasalahan. Biasanya informasi diperoleh dari jaringan LSM.</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1785"/>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CVa2</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Isu pengaduan: </w:t>
            </w:r>
            <w:r w:rsidRPr="00C02110">
              <w:rPr>
                <w:rFonts w:ascii="Times New Roman" w:eastAsia="Times New Roman" w:hAnsi="Times New Roman" w:cs="Times New Roman"/>
                <w:color w:val="000000"/>
                <w:sz w:val="20"/>
                <w:szCs w:val="20"/>
                <w:lang w:eastAsia="id-ID"/>
              </w:rPr>
              <w:br/>
              <w:t xml:space="preserve">a) Korupsi &amp; Kejahatan Kehutanan, </w:t>
            </w:r>
            <w:r w:rsidRPr="00C02110">
              <w:rPr>
                <w:rFonts w:ascii="Times New Roman" w:eastAsia="Times New Roman" w:hAnsi="Times New Roman" w:cs="Times New Roman"/>
                <w:color w:val="000000"/>
                <w:sz w:val="20"/>
                <w:szCs w:val="20"/>
                <w:lang w:eastAsia="id-ID"/>
              </w:rPr>
              <w:br/>
              <w:t xml:space="preserve">b) Perencanaan, </w:t>
            </w:r>
            <w:r w:rsidRPr="00C02110">
              <w:rPr>
                <w:rFonts w:ascii="Times New Roman" w:eastAsia="Times New Roman" w:hAnsi="Times New Roman" w:cs="Times New Roman"/>
                <w:color w:val="000000"/>
                <w:sz w:val="20"/>
                <w:szCs w:val="20"/>
                <w:lang w:eastAsia="id-ID"/>
              </w:rPr>
              <w:br/>
              <w:t>c) Hak &amp; Pengelolaan hutan &amp; lahan gambut</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Masalah yang terjadi di tingkat masyarakat yang terbesar adalah korupsi dan kejahatan kehutanan dan hak kelola hutan.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765"/>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CVa3</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SOP penerimaan pengaduan</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SOP penerimaan pengaduan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SOP pengaduan melalui relawan, cukup memadai karena untuk masyarakat pendekatan ini lebih tepat sasaran.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765"/>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CVa4</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Staf yang khusus ditugaskan menerima pengaduan</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SOP penerimaan pengaduan sudah memadai?</w:t>
            </w:r>
          </w:p>
        </w:tc>
        <w:tc>
          <w:tcPr>
            <w:tcW w:w="1150"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Penerima pengadua adalah relawan di lapangan</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3</w:t>
            </w:r>
          </w:p>
        </w:tc>
      </w:tr>
      <w:tr w:rsidR="00C02110" w:rsidRPr="00C02110" w:rsidTr="00C02110">
        <w:trPr>
          <w:trHeight w:val="255"/>
        </w:trPr>
        <w:tc>
          <w:tcPr>
            <w:tcW w:w="102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Isu dalam PGA REDD+</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452"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VI. Infrastruktur REDD+</w:t>
            </w: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5432" w:type="dxa"/>
            <w:gridSpan w:val="4"/>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452" w:type="dxa"/>
            <w:gridSpan w:val="2"/>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LSM (Pengurus), Satgas REDD+</w:t>
            </w:r>
            <w:r w:rsidRPr="00C02110">
              <w:rPr>
                <w:rFonts w:ascii="Times New Roman" w:eastAsia="Times New Roman" w:hAnsi="Times New Roman" w:cs="Times New Roman"/>
                <w:b/>
                <w:bCs/>
                <w:color w:val="000000"/>
                <w:sz w:val="20"/>
                <w:szCs w:val="20"/>
                <w:lang w:eastAsia="id-ID"/>
              </w:rPr>
              <w:br/>
            </w: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300"/>
        </w:trPr>
        <w:tc>
          <w:tcPr>
            <w:tcW w:w="102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CVIa1</w:t>
            </w:r>
          </w:p>
        </w:tc>
        <w:tc>
          <w:tcPr>
            <w:tcW w:w="139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Jumlah LSM yang melakukan monitoring terhadap persiapan dan </w:t>
            </w:r>
            <w:r w:rsidRPr="00C02110">
              <w:rPr>
                <w:rFonts w:ascii="Times New Roman" w:eastAsia="Times New Roman" w:hAnsi="Times New Roman" w:cs="Times New Roman"/>
                <w:color w:val="000000"/>
                <w:sz w:val="20"/>
                <w:szCs w:val="20"/>
                <w:lang w:eastAsia="id-ID"/>
              </w:rPr>
              <w:lastRenderedPageBreak/>
              <w:t>pelaksanaan REDD+</w:t>
            </w:r>
          </w:p>
        </w:tc>
        <w:tc>
          <w:tcPr>
            <w:tcW w:w="1647" w:type="dxa"/>
            <w:vMerge w:val="restart"/>
            <w:tcBorders>
              <w:top w:val="nil"/>
              <w:left w:val="single" w:sz="4" w:space="0" w:color="auto"/>
              <w:bottom w:val="single" w:sz="4" w:space="0" w:color="000000"/>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 xml:space="preserve">Berapa jumlah monitoring terhadap persiapan dan pelaksanaan REDD+  yang </w:t>
            </w:r>
            <w:r w:rsidRPr="00C02110">
              <w:rPr>
                <w:rFonts w:ascii="Times New Roman" w:eastAsia="Times New Roman" w:hAnsi="Times New Roman" w:cs="Times New Roman"/>
                <w:color w:val="000000"/>
                <w:sz w:val="20"/>
                <w:szCs w:val="20"/>
                <w:lang w:eastAsia="id-ID"/>
              </w:rPr>
              <w:lastRenderedPageBreak/>
              <w:t>dilakukan LSM?</w:t>
            </w:r>
          </w:p>
        </w:tc>
        <w:tc>
          <w:tcPr>
            <w:tcW w:w="1150" w:type="dxa"/>
            <w:tcBorders>
              <w:top w:val="nil"/>
              <w:left w:val="nil"/>
              <w:bottom w:val="single" w:sz="4" w:space="0" w:color="auto"/>
              <w:right w:val="single" w:sz="4" w:space="0" w:color="auto"/>
            </w:tcBorders>
            <w:shd w:val="clear" w:color="000000" w:fill="F2DDDC"/>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Satgas REDD+</w:t>
            </w:r>
          </w:p>
        </w:tc>
        <w:tc>
          <w:tcPr>
            <w:tcW w:w="5664" w:type="dxa"/>
            <w:gridSpan w:val="4"/>
            <w:tcBorders>
              <w:top w:val="single" w:sz="4" w:space="0" w:color="auto"/>
              <w:left w:val="nil"/>
              <w:bottom w:val="single" w:sz="4" w:space="0" w:color="auto"/>
              <w:right w:val="single" w:sz="4" w:space="0" w:color="000000"/>
            </w:tcBorders>
            <w:shd w:val="clear" w:color="000000" w:fill="F2DDDC"/>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Belum terbentuk Satgas REDD+ tingkat kabupaten</w:t>
            </w:r>
          </w:p>
        </w:tc>
      </w:tr>
      <w:tr w:rsidR="00C02110" w:rsidRPr="00C02110" w:rsidTr="00C02110">
        <w:trPr>
          <w:trHeight w:val="1080"/>
        </w:trPr>
        <w:tc>
          <w:tcPr>
            <w:tcW w:w="102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647" w:type="dxa"/>
            <w:vMerge/>
            <w:tcBorders>
              <w:top w:val="nil"/>
              <w:left w:val="single" w:sz="4" w:space="0" w:color="auto"/>
              <w:bottom w:val="single" w:sz="4" w:space="0" w:color="000000"/>
              <w:right w:val="single" w:sz="4" w:space="0" w:color="auto"/>
            </w:tcBorders>
            <w:vAlign w:val="center"/>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Belum ada monitoring, Walhi termasuk yang tidak menyetujui </w:t>
            </w:r>
            <w:r w:rsidRPr="00C02110">
              <w:rPr>
                <w:rFonts w:ascii="Times New Roman" w:eastAsia="Times New Roman" w:hAnsi="Times New Roman" w:cs="Times New Roman"/>
                <w:color w:val="000000"/>
                <w:sz w:val="20"/>
                <w:szCs w:val="20"/>
                <w:lang w:eastAsia="id-ID"/>
              </w:rPr>
              <w:lastRenderedPageBreak/>
              <w:t>skema REDD+</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2</w:t>
            </w:r>
          </w:p>
        </w:tc>
      </w:tr>
      <w:tr w:rsidR="00C02110" w:rsidRPr="00C02110" w:rsidTr="00C02110">
        <w:trPr>
          <w:trHeight w:val="255"/>
        </w:trPr>
        <w:tc>
          <w:tcPr>
            <w:tcW w:w="102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6814" w:type="dxa"/>
            <w:gridSpan w:val="5"/>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Wawancara – Sumber informasi</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150" w:type="dxa"/>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LSM (Pengurus)</w:t>
            </w:r>
          </w:p>
        </w:tc>
        <w:tc>
          <w:tcPr>
            <w:tcW w:w="1302"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510"/>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CVIb1</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Keikutsertaan dalam pelatihan</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aktivis LSM memiliki bukti keikutsertaan dalam pelatihan?</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skenario REDD+ belum jelas</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r>
      <w:tr w:rsidR="00C02110" w:rsidRPr="00C02110" w:rsidTr="00C02110">
        <w:trPr>
          <w:trHeight w:val="510"/>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CVIb2</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Pemahaman mengenai REDD+</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pemahaman aktivis LSM mengenai REDD+ sudah memadai?</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Pemahaman memadai dari segi konsep, tapi implementasi masih belum dipahami</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r>
      <w:tr w:rsidR="00C02110" w:rsidRPr="00C02110" w:rsidTr="00C02110">
        <w:trPr>
          <w:trHeight w:val="765"/>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CVIb3</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Pemahaman terhadap prinsip &amp; prosedur</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pemahaman aktivis LSM terhadap prinsip &amp; prosedur sudah memadai?</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skenario REDD+ belum jelas</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r>
      <w:tr w:rsidR="00C02110" w:rsidRPr="00C02110" w:rsidTr="00C02110">
        <w:trPr>
          <w:trHeight w:val="510"/>
        </w:trPr>
        <w:tc>
          <w:tcPr>
            <w:tcW w:w="1027" w:type="dxa"/>
            <w:tcBorders>
              <w:top w:val="nil"/>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CVIb4</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Strategi pelaksanaan monitoring</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strategi pelaksanaan moni-toring sudah memadai?</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LSM</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skenario REDD+ belum jelas</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r>
      <w:tr w:rsidR="00C02110" w:rsidRPr="00C02110" w:rsidTr="00C02110">
        <w:trPr>
          <w:trHeight w:val="255"/>
        </w:trPr>
        <w:tc>
          <w:tcPr>
            <w:tcW w:w="102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97" w:type="dxa"/>
            <w:tcBorders>
              <w:top w:val="nil"/>
              <w:left w:val="nil"/>
              <w:bottom w:val="nil"/>
              <w:right w:val="nil"/>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647"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150"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30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102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Indikator</w:t>
            </w:r>
          </w:p>
        </w:tc>
        <w:tc>
          <w:tcPr>
            <w:tcW w:w="139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p>
        </w:tc>
        <w:tc>
          <w:tcPr>
            <w:tcW w:w="5432" w:type="dxa"/>
            <w:gridSpan w:val="4"/>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p>
        </w:tc>
      </w:tr>
      <w:tr w:rsidR="00C02110" w:rsidRPr="00C02110" w:rsidTr="00C02110">
        <w:trPr>
          <w:trHeight w:val="255"/>
        </w:trPr>
        <w:tc>
          <w:tcPr>
            <w:tcW w:w="2424" w:type="dxa"/>
            <w:gridSpan w:val="2"/>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647"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2452" w:type="dxa"/>
            <w:gridSpan w:val="2"/>
            <w:tcBorders>
              <w:top w:val="nil"/>
              <w:left w:val="nil"/>
              <w:bottom w:val="nil"/>
              <w:right w:val="nil"/>
            </w:tcBorders>
            <w:shd w:val="clear" w:color="auto" w:fill="auto"/>
            <w:noWrap/>
            <w:hideMark/>
          </w:tcPr>
          <w:p w:rsidR="00C02110" w:rsidRPr="00C02110" w:rsidRDefault="00C02110" w:rsidP="00C02110">
            <w:pPr>
              <w:spacing w:after="240" w:line="240" w:lineRule="auto"/>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 Artikel/kolom dalam Media Cetak</w:t>
            </w:r>
          </w:p>
        </w:tc>
        <w:tc>
          <w:tcPr>
            <w:tcW w:w="1221"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759" w:type="dxa"/>
            <w:tcBorders>
              <w:top w:val="nil"/>
              <w:left w:val="nil"/>
              <w:bottom w:val="nil"/>
              <w:right w:val="nil"/>
            </w:tcBorders>
            <w:shd w:val="clear" w:color="auto" w:fill="auto"/>
            <w:noWrap/>
            <w:hideMark/>
          </w:tcPr>
          <w:p w:rsidR="00C02110" w:rsidRPr="00C02110" w:rsidRDefault="00C02110" w:rsidP="00C0211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p>
        </w:tc>
      </w:tr>
      <w:tr w:rsidR="00C02110" w:rsidRPr="00C02110" w:rsidTr="00C02110">
        <w:trPr>
          <w:trHeight w:val="510"/>
        </w:trPr>
        <w:tc>
          <w:tcPr>
            <w:tcW w:w="1027" w:type="dxa"/>
            <w:tcBorders>
              <w:top w:val="single" w:sz="4" w:space="0" w:color="auto"/>
              <w:left w:val="single" w:sz="4" w:space="0" w:color="auto"/>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Kode</w:t>
            </w:r>
          </w:p>
        </w:tc>
        <w:tc>
          <w:tcPr>
            <w:tcW w:w="139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Panduan Analisis Dokumen</w:t>
            </w:r>
          </w:p>
        </w:tc>
        <w:tc>
          <w:tcPr>
            <w:tcW w:w="1647"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Pertanyaan Wawancara</w:t>
            </w:r>
          </w:p>
        </w:tc>
        <w:tc>
          <w:tcPr>
            <w:tcW w:w="1150"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Sumber Data</w:t>
            </w:r>
          </w:p>
        </w:tc>
        <w:tc>
          <w:tcPr>
            <w:tcW w:w="130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Dokumen</w:t>
            </w:r>
          </w:p>
        </w:tc>
        <w:tc>
          <w:tcPr>
            <w:tcW w:w="1221"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Dokumen</w:t>
            </w:r>
          </w:p>
        </w:tc>
        <w:tc>
          <w:tcPr>
            <w:tcW w:w="1759"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b/>
                <w:bCs/>
                <w:color w:val="000000"/>
                <w:sz w:val="20"/>
                <w:szCs w:val="20"/>
                <w:lang w:eastAsia="id-ID"/>
              </w:rPr>
            </w:pPr>
            <w:r w:rsidRPr="00C02110">
              <w:rPr>
                <w:rFonts w:ascii="Times New Roman" w:eastAsia="Times New Roman" w:hAnsi="Times New Roman" w:cs="Times New Roman"/>
                <w:b/>
                <w:bCs/>
                <w:color w:val="000000"/>
                <w:sz w:val="20"/>
                <w:szCs w:val="20"/>
                <w:lang w:eastAsia="id-ID"/>
              </w:rPr>
              <w:t>Kategori Data Wawancara</w:t>
            </w:r>
          </w:p>
        </w:tc>
      </w:tr>
      <w:tr w:rsidR="00C02110" w:rsidRPr="00C02110" w:rsidTr="00C02110">
        <w:trPr>
          <w:trHeight w:val="765"/>
        </w:trPr>
        <w:tc>
          <w:tcPr>
            <w:tcW w:w="1027" w:type="dxa"/>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CVIc1</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 xml:space="preserve">Cakupan berita mengenai persiapan atau pelaksanaan REDD+ </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cakupan berita mengenai persiapan atau pelaksanaan REDD+ sudah memadai?</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Jurnalis</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Belum memadai, jurnalis belum memahami REDD+</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1275"/>
        </w:trPr>
        <w:tc>
          <w:tcPr>
            <w:tcW w:w="1027" w:type="dxa"/>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CVIc2</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Jurnalis</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belum memadai karena media massa lokal kurang mengekspose masalah masyarakat adat dan belum memahami keterkaitan REDD+.</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2</w:t>
            </w:r>
          </w:p>
        </w:tc>
      </w:tr>
      <w:tr w:rsidR="00C02110" w:rsidRPr="00C02110" w:rsidTr="00C02110">
        <w:trPr>
          <w:trHeight w:val="510"/>
        </w:trPr>
        <w:tc>
          <w:tcPr>
            <w:tcW w:w="1027" w:type="dxa"/>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lastRenderedPageBreak/>
              <w:t>CVIc3</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Posisi berita (letak halaman pemberitaan)</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posisi berita (letak halaman pemberitaan) sudah strategis?</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Jurnalis</w:t>
            </w:r>
          </w:p>
        </w:tc>
        <w:tc>
          <w:tcPr>
            <w:tcW w:w="1302"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r>
      <w:tr w:rsidR="00C02110" w:rsidRPr="00C02110" w:rsidTr="00C02110">
        <w:trPr>
          <w:trHeight w:val="765"/>
        </w:trPr>
        <w:tc>
          <w:tcPr>
            <w:tcW w:w="1027" w:type="dxa"/>
            <w:tcBorders>
              <w:top w:val="nil"/>
              <w:left w:val="single" w:sz="4" w:space="0" w:color="auto"/>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CVIc4</w:t>
            </w:r>
          </w:p>
        </w:tc>
        <w:tc>
          <w:tcPr>
            <w:tcW w:w="139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Posisi media dalam pemberitaan</w:t>
            </w:r>
          </w:p>
        </w:tc>
        <w:tc>
          <w:tcPr>
            <w:tcW w:w="1647"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50"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Jurnalis</w:t>
            </w:r>
          </w:p>
        </w:tc>
        <w:tc>
          <w:tcPr>
            <w:tcW w:w="130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Tidak ada dokumen</w:t>
            </w:r>
          </w:p>
        </w:tc>
        <w:tc>
          <w:tcPr>
            <w:tcW w:w="1221"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c>
          <w:tcPr>
            <w:tcW w:w="1759" w:type="dxa"/>
            <w:tcBorders>
              <w:top w:val="nil"/>
              <w:left w:val="nil"/>
              <w:bottom w:val="single" w:sz="4" w:space="0" w:color="auto"/>
              <w:right w:val="single" w:sz="4" w:space="0" w:color="auto"/>
            </w:tcBorders>
            <w:shd w:val="clear" w:color="auto" w:fill="auto"/>
            <w:hideMark/>
          </w:tcPr>
          <w:p w:rsidR="00C02110" w:rsidRPr="00C02110" w:rsidRDefault="00C02110" w:rsidP="00C02110">
            <w:pPr>
              <w:spacing w:after="0" w:line="240" w:lineRule="auto"/>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C02110" w:rsidRPr="00C02110" w:rsidRDefault="00C02110" w:rsidP="00C02110">
            <w:pPr>
              <w:spacing w:after="0" w:line="240" w:lineRule="auto"/>
              <w:jc w:val="center"/>
              <w:rPr>
                <w:rFonts w:ascii="Times New Roman" w:eastAsia="Times New Roman" w:hAnsi="Times New Roman" w:cs="Times New Roman"/>
                <w:color w:val="000000"/>
                <w:sz w:val="20"/>
                <w:szCs w:val="20"/>
                <w:lang w:eastAsia="id-ID"/>
              </w:rPr>
            </w:pPr>
            <w:r w:rsidRPr="00C02110">
              <w:rPr>
                <w:rFonts w:ascii="Times New Roman" w:eastAsia="Times New Roman" w:hAnsi="Times New Roman" w:cs="Times New Roman"/>
                <w:color w:val="000000"/>
                <w:sz w:val="20"/>
                <w:szCs w:val="20"/>
                <w:lang w:eastAsia="id-ID"/>
              </w:rPr>
              <w:t>1</w:t>
            </w:r>
          </w:p>
        </w:tc>
      </w:tr>
    </w:tbl>
    <w:p w:rsidR="00C02110" w:rsidRDefault="00C02110"/>
    <w:sectPr w:rsidR="00C02110"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9F3E98"/>
    <w:rsid w:val="00A91768"/>
    <w:rsid w:val="00BB5203"/>
    <w:rsid w:val="00C02110"/>
    <w:rsid w:val="00D74DB4"/>
    <w:rsid w:val="00D838F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37083895">
      <w:bodyDiv w:val="1"/>
      <w:marLeft w:val="0"/>
      <w:marRight w:val="0"/>
      <w:marTop w:val="0"/>
      <w:marBottom w:val="0"/>
      <w:divBdr>
        <w:top w:val="none" w:sz="0" w:space="0" w:color="auto"/>
        <w:left w:val="none" w:sz="0" w:space="0" w:color="auto"/>
        <w:bottom w:val="none" w:sz="0" w:space="0" w:color="auto"/>
        <w:right w:val="none" w:sz="0" w:space="0" w:color="auto"/>
      </w:divBdr>
    </w:div>
    <w:div w:id="209073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18</Pages>
  <Words>4983</Words>
  <Characters>28409</Characters>
  <Application>Microsoft Office Word</Application>
  <DocSecurity>0</DocSecurity>
  <Lines>236</Lines>
  <Paragraphs>66</Paragraphs>
  <ScaleCrop>false</ScaleCrop>
  <Company/>
  <LinksUpToDate>false</LinksUpToDate>
  <CharactersWithSpaces>33326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2012-10-17T00:35:00Z</dcterms:modified>
</cp:coreProperties>
</file>